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2378" w:right="1746" w:hanging="622"/>
        <w:jc w:val="left"/>
        <w:rPr>
          <w:sz w:val="12"/>
        </w:rPr>
      </w:pPr>
      <w:r>
        <w:rPr>
          <w:sz w:val="48"/>
        </w:rPr>
        <w:t>WNIOSEK REKLAMACYJNY CZUJNIKI NOx </w:t>
      </w:r>
      <w:r>
        <w:rPr>
          <w:sz w:val="12"/>
        </w:rPr>
        <w:t>ver. 1 (od 24/02-2021)</w:t>
      </w:r>
    </w:p>
    <w:p>
      <w:pPr>
        <w:pStyle w:val="BodyText"/>
        <w:spacing w:before="11" w:after="1"/>
        <w:rPr>
          <w:sz w:val="1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864"/>
        <w:gridCol w:w="2111"/>
        <w:gridCol w:w="5407"/>
      </w:tblGrid>
      <w:tr>
        <w:trPr>
          <w:trHeight w:val="666" w:hRule="atLeast"/>
        </w:trPr>
        <w:tc>
          <w:tcPr>
            <w:tcW w:w="4220" w:type="dxa"/>
            <w:gridSpan w:val="3"/>
            <w:vMerge w:val="restart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Nazwa Klienta:</w:t>
            </w:r>
          </w:p>
        </w:tc>
        <w:tc>
          <w:tcPr>
            <w:tcW w:w="54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Data wniosku:</w:t>
            </w:r>
          </w:p>
        </w:tc>
      </w:tr>
      <w:tr>
        <w:trPr>
          <w:trHeight w:val="664" w:hRule="atLeast"/>
        </w:trPr>
        <w:tc>
          <w:tcPr>
            <w:tcW w:w="422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Numer reklamacji Klienta.:</w:t>
            </w:r>
          </w:p>
        </w:tc>
      </w:tr>
      <w:tr>
        <w:trPr>
          <w:trHeight w:val="666" w:hRule="atLeast"/>
        </w:trPr>
        <w:tc>
          <w:tcPr>
            <w:tcW w:w="422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Osoba kontaktowa po stronie Klienta – adres e-mail:</w:t>
            </w:r>
          </w:p>
        </w:tc>
      </w:tr>
      <w:tr>
        <w:trPr>
          <w:trHeight w:val="337" w:hRule="atLeast"/>
        </w:trPr>
        <w:tc>
          <w:tcPr>
            <w:tcW w:w="9627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4220" w:type="dxa"/>
            <w:gridSpan w:val="3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Data dostawy elementu:</w:t>
            </w:r>
          </w:p>
        </w:tc>
        <w:tc>
          <w:tcPr>
            <w:tcW w:w="54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Numer faktury zakupowej i data:</w:t>
            </w:r>
          </w:p>
        </w:tc>
      </w:tr>
      <w:tr>
        <w:trPr>
          <w:trHeight w:val="678" w:hRule="atLeast"/>
        </w:trPr>
        <w:tc>
          <w:tcPr>
            <w:tcW w:w="4220" w:type="dxa"/>
            <w:gridSpan w:val="3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Data instalacji elementu:</w:t>
            </w:r>
          </w:p>
        </w:tc>
        <w:tc>
          <w:tcPr>
            <w:tcW w:w="54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Przebieg pojazdu w momencie instalacji elementu:</w:t>
            </w:r>
          </w:p>
        </w:tc>
      </w:tr>
      <w:tr>
        <w:trPr>
          <w:trHeight w:val="681" w:hRule="atLeast"/>
        </w:trPr>
        <w:tc>
          <w:tcPr>
            <w:tcW w:w="4220" w:type="dxa"/>
            <w:gridSpan w:val="3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Data usterki:</w:t>
            </w:r>
          </w:p>
        </w:tc>
        <w:tc>
          <w:tcPr>
            <w:tcW w:w="54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Przebieg pojazdu w momencie demontażu elementu:</w:t>
            </w:r>
          </w:p>
        </w:tc>
      </w:tr>
      <w:tr>
        <w:trPr>
          <w:trHeight w:val="678" w:hRule="atLeast"/>
        </w:trPr>
        <w:tc>
          <w:tcPr>
            <w:tcW w:w="4220" w:type="dxa"/>
            <w:gridSpan w:val="3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Pojazd (marka, model, rok produkcji):</w:t>
            </w:r>
          </w:p>
        </w:tc>
        <w:tc>
          <w:tcPr>
            <w:tcW w:w="54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Pojemność silnika i moc (kW/KM):</w:t>
            </w:r>
          </w:p>
        </w:tc>
      </w:tr>
      <w:tr>
        <w:trPr>
          <w:trHeight w:val="340" w:hRule="atLeast"/>
        </w:trPr>
        <w:tc>
          <w:tcPr>
            <w:tcW w:w="9627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78" w:hRule="atLeast"/>
        </w:trPr>
        <w:tc>
          <w:tcPr>
            <w:tcW w:w="4220" w:type="dxa"/>
            <w:gridSpan w:val="3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Numer DINEX reklamowanej części:</w:t>
            </w:r>
          </w:p>
        </w:tc>
        <w:tc>
          <w:tcPr>
            <w:tcW w:w="54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Numer Continental (patrz rysunek 3):</w:t>
            </w:r>
          </w:p>
        </w:tc>
      </w:tr>
      <w:tr>
        <w:trPr>
          <w:trHeight w:val="681" w:hRule="atLeast"/>
        </w:trPr>
        <w:tc>
          <w:tcPr>
            <w:tcW w:w="4220" w:type="dxa"/>
            <w:gridSpan w:val="3"/>
          </w:tcPr>
          <w:p>
            <w:pPr>
              <w:pStyle w:val="TableParagraph"/>
              <w:spacing w:before="29"/>
              <w:ind w:left="26"/>
              <w:rPr>
                <w:sz w:val="16"/>
              </w:rPr>
            </w:pPr>
            <w:r>
              <w:rPr>
                <w:sz w:val="16"/>
              </w:rPr>
              <w:t>Numer partii (patrz rysunek 1):</w:t>
            </w:r>
          </w:p>
        </w:tc>
        <w:tc>
          <w:tcPr>
            <w:tcW w:w="5407" w:type="dxa"/>
          </w:tcPr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Numer seryjny czujnika (patrz rysunek 2):</w:t>
            </w:r>
          </w:p>
        </w:tc>
      </w:tr>
      <w:tr>
        <w:trPr>
          <w:trHeight w:val="678" w:hRule="atLeast"/>
        </w:trPr>
        <w:tc>
          <w:tcPr>
            <w:tcW w:w="4220" w:type="dxa"/>
            <w:gridSpan w:val="3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Numer Continental (patrz rysunek 3 - OE sensor):</w:t>
            </w:r>
          </w:p>
        </w:tc>
        <w:tc>
          <w:tcPr>
            <w:tcW w:w="54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Miejsce montażu (przed / za SCR-em):</w:t>
            </w:r>
          </w:p>
        </w:tc>
      </w:tr>
      <w:tr>
        <w:trPr>
          <w:trHeight w:val="681" w:hRule="atLeast"/>
        </w:trPr>
        <w:tc>
          <w:tcPr>
            <w:tcW w:w="4220" w:type="dxa"/>
            <w:gridSpan w:val="3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Norma emisji spalin pojazdu:</w:t>
            </w:r>
          </w:p>
        </w:tc>
        <w:tc>
          <w:tcPr>
            <w:tcW w:w="540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Ilość reklamowanego produktu:</w:t>
            </w:r>
          </w:p>
        </w:tc>
      </w:tr>
      <w:tr>
        <w:trPr>
          <w:trHeight w:val="338" w:hRule="atLeast"/>
        </w:trPr>
        <w:tc>
          <w:tcPr>
            <w:tcW w:w="9627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1245" w:type="dxa"/>
            <w:tcBorders>
              <w:bottom w:val="nil"/>
              <w:right w:val="nil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Typ usterki: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50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w w:val="100"/>
                <w:sz w:val="28"/>
              </w:rPr>
              <w:t>☐</w:t>
            </w: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8"/>
              <w:ind w:left="344"/>
              <w:rPr>
                <w:sz w:val="16"/>
              </w:rPr>
            </w:pPr>
            <w:r>
              <w:rPr>
                <w:sz w:val="16"/>
              </w:rPr>
              <w:t>Trwałość</w:t>
            </w:r>
          </w:p>
        </w:tc>
        <w:tc>
          <w:tcPr>
            <w:tcW w:w="540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8"/>
              <w:ind w:left="28"/>
              <w:rPr>
                <w:i/>
                <w:sz w:val="16"/>
              </w:rPr>
            </w:pPr>
            <w:r>
              <w:rPr>
                <w:i/>
                <w:sz w:val="16"/>
              </w:rPr>
              <w:t>Część uległa awarii lub utraciła funkcjonalność podczas gwarancji</w:t>
            </w:r>
          </w:p>
        </w:tc>
      </w:tr>
      <w:tr>
        <w:trPr>
          <w:trHeight w:val="500" w:hRule="atLeast"/>
        </w:trPr>
        <w:tc>
          <w:tcPr>
            <w:tcW w:w="12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1"/>
              <w:ind w:left="250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w w:val="100"/>
                <w:sz w:val="28"/>
              </w:rPr>
              <w:t>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5"/>
              <w:ind w:left="344"/>
              <w:rPr>
                <w:sz w:val="16"/>
              </w:rPr>
            </w:pPr>
            <w:r>
              <w:rPr>
                <w:sz w:val="16"/>
              </w:rPr>
              <w:t>Błąd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5"/>
              <w:ind w:left="28"/>
              <w:rPr>
                <w:i/>
                <w:sz w:val="16"/>
              </w:rPr>
            </w:pPr>
            <w:r>
              <w:rPr>
                <w:i/>
                <w:sz w:val="16"/>
              </w:rPr>
              <w:t>Świecąca kontrolka silnika, nr błędu OBD</w:t>
            </w:r>
          </w:p>
        </w:tc>
      </w:tr>
      <w:tr>
        <w:trPr>
          <w:trHeight w:val="500" w:hRule="atLeast"/>
        </w:trPr>
        <w:tc>
          <w:tcPr>
            <w:tcW w:w="12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1"/>
              <w:ind w:left="250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w w:val="100"/>
                <w:sz w:val="28"/>
              </w:rPr>
              <w:t>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4"/>
              <w:ind w:left="344"/>
              <w:rPr>
                <w:sz w:val="16"/>
              </w:rPr>
            </w:pPr>
            <w:r>
              <w:rPr>
                <w:sz w:val="16"/>
              </w:rPr>
              <w:t>Komunikacja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4"/>
              <w:ind w:left="28"/>
              <w:rPr>
                <w:i/>
                <w:sz w:val="16"/>
              </w:rPr>
            </w:pPr>
            <w:r>
              <w:rPr>
                <w:i/>
                <w:sz w:val="16"/>
              </w:rPr>
              <w:t>Brak komunikacji na linii ECU – czujnik NOx</w:t>
            </w:r>
          </w:p>
        </w:tc>
      </w:tr>
      <w:tr>
        <w:trPr>
          <w:trHeight w:val="495" w:hRule="atLeast"/>
        </w:trPr>
        <w:tc>
          <w:tcPr>
            <w:tcW w:w="12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1"/>
              <w:ind w:left="250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w w:val="100"/>
                <w:sz w:val="28"/>
              </w:rPr>
              <w:t>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5"/>
              <w:ind w:left="344"/>
              <w:rPr>
                <w:sz w:val="16"/>
              </w:rPr>
            </w:pPr>
            <w:r>
              <w:rPr>
                <w:sz w:val="16"/>
              </w:rPr>
              <w:t>Emisja spalin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5"/>
              <w:ind w:left="28"/>
              <w:rPr>
                <w:i/>
                <w:sz w:val="16"/>
              </w:rPr>
            </w:pPr>
            <w:r>
              <w:rPr>
                <w:i/>
                <w:sz w:val="16"/>
              </w:rPr>
              <w:t>Czujnik wskazuje błędne parametry</w:t>
            </w:r>
          </w:p>
        </w:tc>
      </w:tr>
      <w:tr>
        <w:trPr>
          <w:trHeight w:val="489" w:hRule="atLeast"/>
        </w:trPr>
        <w:tc>
          <w:tcPr>
            <w:tcW w:w="12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50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w w:val="100"/>
                <w:sz w:val="28"/>
              </w:rPr>
              <w:t>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9"/>
              <w:ind w:left="344"/>
              <w:rPr>
                <w:sz w:val="16"/>
              </w:rPr>
            </w:pPr>
            <w:r>
              <w:rPr>
                <w:sz w:val="16"/>
              </w:rPr>
              <w:t>Logistyka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9"/>
              <w:ind w:left="28"/>
              <w:rPr>
                <w:i/>
                <w:sz w:val="16"/>
              </w:rPr>
            </w:pPr>
            <w:r>
              <w:rPr>
                <w:i/>
                <w:sz w:val="16"/>
              </w:rPr>
              <w:t>Błędy w oznaczeniu czujnika, zawartości opakowania</w:t>
            </w:r>
          </w:p>
        </w:tc>
      </w:tr>
      <w:tr>
        <w:trPr>
          <w:trHeight w:val="491" w:hRule="atLeast"/>
        </w:trPr>
        <w:tc>
          <w:tcPr>
            <w:tcW w:w="124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5"/>
              <w:ind w:left="250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w w:val="100"/>
                <w:sz w:val="28"/>
              </w:rPr>
              <w:t>☐</w:t>
            </w:r>
          </w:p>
        </w:tc>
        <w:tc>
          <w:tcPr>
            <w:tcW w:w="211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49"/>
              <w:ind w:left="344"/>
              <w:rPr>
                <w:sz w:val="16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540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49"/>
              <w:ind w:left="28"/>
              <w:rPr>
                <w:i/>
                <w:sz w:val="16"/>
              </w:rPr>
            </w:pPr>
            <w:r>
              <w:rPr>
                <w:i/>
                <w:sz w:val="16"/>
              </w:rPr>
              <w:t>Opis problemu poniżej</w:t>
            </w:r>
          </w:p>
        </w:tc>
      </w:tr>
      <w:tr>
        <w:trPr>
          <w:trHeight w:val="1975" w:hRule="atLeast"/>
        </w:trPr>
        <w:tc>
          <w:tcPr>
            <w:tcW w:w="9627" w:type="dxa"/>
            <w:gridSpan w:val="4"/>
          </w:tcPr>
          <w:p>
            <w:pPr>
              <w:pStyle w:val="TableParagraph"/>
              <w:spacing w:before="139"/>
              <w:ind w:left="26"/>
              <w:rPr>
                <w:sz w:val="16"/>
              </w:rPr>
            </w:pPr>
            <w:r>
              <w:rPr>
                <w:sz w:val="16"/>
              </w:rPr>
              <w:t>Dodatkowy opis usterki:</w:t>
            </w:r>
          </w:p>
        </w:tc>
      </w:tr>
    </w:tbl>
    <w:p>
      <w:pPr>
        <w:spacing w:after="0"/>
        <w:rPr>
          <w:sz w:val="16"/>
        </w:rPr>
        <w:sectPr>
          <w:footerReference w:type="default" r:id="rId5"/>
          <w:type w:val="continuous"/>
          <w:pgSz w:w="11910" w:h="16840"/>
          <w:pgMar w:footer="927" w:top="480" w:bottom="1120" w:left="740" w:right="130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5180023" cy="250317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023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112"/>
      </w:pPr>
      <w:r>
        <w:rPr/>
        <w:t>Rys. 1 – Nr partii (na pudełku)</w:t>
      </w:r>
    </w:p>
    <w:p>
      <w:pPr>
        <w:pStyle w:val="BodyText"/>
        <w:spacing w:before="9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540384</wp:posOffset>
            </wp:positionH>
            <wp:positionV relativeFrom="paragraph">
              <wp:posOffset>215938</wp:posOffset>
            </wp:positionV>
            <wp:extent cx="5187404" cy="3273837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404" cy="327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9"/>
        <w:ind w:left="112"/>
      </w:pPr>
      <w:r>
        <w:rPr/>
        <w:t>Rys. 2 – Nr seryjny (na sondzie czujnika)</w:t>
      </w:r>
    </w:p>
    <w:p>
      <w:pPr>
        <w:pStyle w:val="BodyText"/>
        <w:spacing w:before="8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540384</wp:posOffset>
            </wp:positionH>
            <wp:positionV relativeFrom="paragraph">
              <wp:posOffset>215330</wp:posOffset>
            </wp:positionV>
            <wp:extent cx="5206791" cy="278244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791" cy="2782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12"/>
      </w:pPr>
      <w:r>
        <w:rPr/>
        <w:t>Rys. 3 – Nr Continental – (na obudowie czujnika, od spodu)</w:t>
      </w:r>
    </w:p>
    <w:sectPr>
      <w:pgSz w:w="11910" w:h="16840"/>
      <w:pgMar w:header="0" w:footer="927" w:top="560" w:bottom="1120" w:left="7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kiloji">
    <w:altName w:val="kiloji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3184">
          <wp:simplePos x="0" y="0"/>
          <wp:positionH relativeFrom="page">
            <wp:posOffset>5157725</wp:posOffset>
          </wp:positionH>
          <wp:positionV relativeFrom="page">
            <wp:posOffset>9976523</wp:posOffset>
          </wp:positionV>
          <wp:extent cx="1810905" cy="3900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0905" cy="39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23"/>
    </w:pPr>
    <w:rPr>
      <w:rFonts w:ascii="Verdana" w:hAnsi="Verdana" w:eastAsia="Verdana" w:cs="Verdana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mpm</dc:creator>
  <dc:title>Adresse</dc:title>
  <dcterms:created xsi:type="dcterms:W3CDTF">2021-05-20T17:43:40Z</dcterms:created>
  <dcterms:modified xsi:type="dcterms:W3CDTF">2021-05-20T17:43:40Z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2021-05-20T00:00:00Z</vt:filetime>
  </property>
</Properties>
</file>